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41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товара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5" w:type="dxa"/>
            <w:textDirection w:val="lrTb"/>
            <w:noWrap w:val="false"/>
          </w:tcPr>
          <w:p>
            <w:pPr>
              <w:jc w:val="center"/>
            </w:pPr>
            <w:r>
              <w:rPr>
                <w:bCs/>
                <w:sz w:val="20"/>
                <w:szCs w:val="20"/>
              </w:rPr>
              <w:t xml:space="preserve">Наименование показателя, технического, функционального параметра, ед. изм. Показателя</w:t>
            </w:r>
            <w:r/>
          </w:p>
        </w:tc>
      </w:tr>
      <w:tr>
        <w:tblPrEx/>
        <w:trPr>
          <w:trHeight w:val="274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</w:tcBorders>
            <w:tcW w:w="541" w:type="dxa"/>
            <w:vMerge w:val="restart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vMerge w:val="restart"/>
            <w:textDirection w:val="lrTb"/>
            <w:noWrap w:val="false"/>
          </w:tcPr>
          <w:p>
            <w:pPr>
              <w:contextualSpacing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Стенд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Примерный эскиз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b/>
                <w:bCs/>
                <w:color w:val="7030a0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61016" cy="1200647"/>
                      <wp:effectExtent l="0" t="0" r="6350" b="0"/>
                      <wp:docPr id="1" name="Рисунок 2" descr="Romana 30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Romana 30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67550" cy="1212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52.05pt;height:94.54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985" w:type="dxa"/>
            <w:textDirection w:val="lrTb"/>
            <w:noWrap w:val="false"/>
          </w:tcPr>
          <w:p>
            <w:pPr>
              <w:contextualSpacing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(в статичном положении)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72"/>
        </w:trPr>
        <w:tc>
          <w:tcPr>
            <w:shd w:val="clear" w:color="auto" w:fill="auto"/>
            <w:tcBorders>
              <w:left w:val="single" w:color="000000" w:sz="4" w:space="0"/>
            </w:tcBorders>
            <w:tcW w:w="541" w:type="dxa"/>
            <w:vMerge w:val="continue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01" w:type="dxa"/>
            <w:textDirection w:val="lrTb"/>
            <w:noWrap w:val="false"/>
          </w:tcPr>
          <w:p>
            <w:pPr>
              <w:contextualSpacing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(±20 мм)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4" w:type="dxa"/>
            <w:textDirection w:val="lrTb"/>
            <w:noWrap w:val="false"/>
          </w:tcPr>
          <w:p>
            <w:pPr>
              <w:contextualSpacing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  <w:t xml:space="preserve">52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00"/>
        </w:trPr>
        <w:tc>
          <w:tcPr>
            <w:shd w:val="clear" w:color="auto" w:fill="auto"/>
            <w:tcBorders>
              <w:left w:val="single" w:color="000000" w:sz="4" w:space="0"/>
            </w:tcBorders>
            <w:tcW w:w="541" w:type="dxa"/>
            <w:vMerge w:val="continue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01" w:type="dxa"/>
            <w:textDirection w:val="lrTb"/>
            <w:noWrap w:val="false"/>
          </w:tcPr>
          <w:p>
            <w:pPr>
              <w:contextualSpacing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(±20 мм)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4" w:type="dxa"/>
            <w:textDirection w:val="lrTb"/>
            <w:noWrap w:val="false"/>
          </w:tcPr>
          <w:p>
            <w:pPr>
              <w:contextualSpacing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45"/>
        </w:trPr>
        <w:tc>
          <w:tcPr>
            <w:shd w:val="clear" w:color="auto" w:fill="auto"/>
            <w:tcBorders>
              <w:left w:val="single" w:color="000000" w:sz="4" w:space="0"/>
            </w:tcBorders>
            <w:tcW w:w="541" w:type="dxa"/>
            <w:vMerge w:val="continue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01" w:type="dxa"/>
            <w:textDirection w:val="lrTb"/>
            <w:noWrap w:val="false"/>
          </w:tcPr>
          <w:p>
            <w:pPr>
              <w:contextualSpacing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(±20 мм)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4" w:type="dxa"/>
            <w:textDirection w:val="lrTb"/>
            <w:noWrap w:val="false"/>
          </w:tcPr>
          <w:p>
            <w:pPr>
              <w:contextualSpacing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2184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auto"/>
            <w:tcBorders>
              <w:left w:val="single" w:color="000000" w:sz="4" w:space="0"/>
            </w:tcBorders>
            <w:tcW w:w="541" w:type="dxa"/>
            <w:vMerge w:val="continue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5" w:type="dxa"/>
            <w:textDirection w:val="lrTb"/>
            <w:noWrap w:val="false"/>
          </w:tcPr>
          <w:p>
            <w:pPr>
              <w:contextualSpacing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Комплектация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30"/>
        </w:trPr>
        <w:tc>
          <w:tcPr>
            <w:shd w:val="clear" w:color="auto" w:fill="auto"/>
            <w:tcBorders>
              <w:left w:val="single" w:color="000000" w:sz="4" w:space="0"/>
            </w:tcBorders>
            <w:tcW w:w="541" w:type="dxa"/>
            <w:vMerge w:val="continue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01" w:type="dxa"/>
            <w:textDirection w:val="lrTb"/>
            <w:noWrap w:val="false"/>
          </w:tcPr>
          <w:p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</w:t>
            </w:r>
            <w:r>
              <w:rPr>
                <w:sz w:val="20"/>
                <w:szCs w:val="20"/>
              </w:rPr>
              <w:t xml:space="preserve">, шт. 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4" w:type="dxa"/>
            <w:textDirection w:val="lrTb"/>
            <w:noWrap w:val="false"/>
          </w:tcPr>
          <w:p>
            <w:pPr>
              <w:contextualSpacing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30"/>
        </w:trPr>
        <w:tc>
          <w:tcPr>
            <w:shd w:val="clear" w:color="auto" w:fill="auto"/>
            <w:tcBorders>
              <w:left w:val="single" w:color="000000" w:sz="4" w:space="0"/>
            </w:tcBorders>
            <w:tcW w:w="541" w:type="dxa"/>
            <w:vMerge w:val="continue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01" w:type="dxa"/>
            <w:textDirection w:val="lrTb"/>
            <w:noWrap w:val="false"/>
          </w:tcPr>
          <w:p>
            <w:r>
              <w:rPr>
                <w:sz w:val="20"/>
                <w:szCs w:val="20"/>
              </w:rPr>
              <w:t xml:space="preserve">П</w:t>
            </w:r>
            <w:r>
              <w:rPr>
                <w:sz w:val="20"/>
                <w:szCs w:val="20"/>
              </w:rPr>
              <w:t xml:space="preserve">олотно</w:t>
            </w:r>
            <w:r>
              <w:rPr>
                <w:sz w:val="20"/>
                <w:szCs w:val="20"/>
              </w:rPr>
              <w:t xml:space="preserve">, шт. 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84" w:type="dxa"/>
            <w:textDirection w:val="lrTb"/>
            <w:noWrap w:val="false"/>
          </w:tcPr>
          <w:p>
            <w:pPr>
              <w:contextualSpacing/>
              <w:ind w:firstLine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55"/>
        </w:trPr>
        <w:tc>
          <w:tcPr>
            <w:shd w:val="clear" w:color="auto" w:fill="auto"/>
            <w:tcBorders>
              <w:left w:val="single" w:color="000000" w:sz="4" w:space="0"/>
            </w:tcBorders>
            <w:tcW w:w="541" w:type="dxa"/>
            <w:vMerge w:val="continue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5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Описание конструкции</w:t>
            </w:r>
            <w:r/>
          </w:p>
        </w:tc>
      </w:tr>
      <w:tr>
        <w:tblPrEx/>
        <w:trPr>
          <w:trHeight w:val="131"/>
        </w:trPr>
        <w:tc>
          <w:tcPr>
            <w:shd w:val="clear" w:color="auto" w:fill="auto"/>
            <w:tcBorders>
              <w:left w:val="single" w:color="000000" w:sz="4" w:space="0"/>
            </w:tcBorders>
            <w:tcW w:w="541" w:type="dxa"/>
            <w:vMerge w:val="continue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5" w:type="dxa"/>
            <w:textDirection w:val="lrTb"/>
            <w:noWrap w:val="false"/>
          </w:tcPr>
          <w:p>
            <w:pPr>
              <w:contextualSpacing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</w:t>
            </w:r>
            <w:r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 xml:space="preserve">но</w:t>
            </w:r>
            <w:r>
              <w:rPr>
                <w:sz w:val="20"/>
                <w:szCs w:val="20"/>
              </w:rPr>
              <w:t xml:space="preserve"> представля</w:t>
            </w:r>
            <w:r>
              <w:rPr>
                <w:sz w:val="20"/>
                <w:szCs w:val="20"/>
              </w:rPr>
              <w:t xml:space="preserve">ть собой устойчивую конструкцию и может использоваться круглогодично.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ind w:firstLine="34"/>
            </w:pPr>
            <w:r>
              <w:rPr>
                <w:sz w:val="20"/>
                <w:szCs w:val="20"/>
              </w:rPr>
              <w:t xml:space="preserve">Кажд</w:t>
            </w:r>
            <w:r>
              <w:rPr>
                <w:sz w:val="20"/>
                <w:szCs w:val="20"/>
              </w:rPr>
              <w:t xml:space="preserve">ое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изделие </w:t>
            </w:r>
            <w:r>
              <w:rPr>
                <w:sz w:val="20"/>
                <w:szCs w:val="20"/>
              </w:rPr>
              <w:t xml:space="preserve">комплектуется </w:t>
            </w:r>
            <w:r>
              <w:rPr>
                <w:sz w:val="20"/>
                <w:szCs w:val="20"/>
              </w:rPr>
              <w:t xml:space="preserve"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>
              <w:rPr>
                <w:sz w:val="20"/>
                <w:szCs w:val="20"/>
              </w:rPr>
              <w:t xml:space="preserve">.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Металлические детали должны быть окрашены полим</w:t>
            </w:r>
            <w:r>
              <w:rPr>
                <w:sz w:val="20"/>
                <w:szCs w:val="20"/>
              </w:rPr>
              <w:t xml:space="preserve">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 Монтаж производится путем бетонирования стоек в грунт на глубину не менее </w:t>
            </w:r>
            <w:r>
              <w:rPr>
                <w:sz w:val="20"/>
                <w:szCs w:val="20"/>
              </w:rPr>
              <w:t xml:space="preserve">70</w:t>
            </w:r>
            <w:r>
              <w:rPr>
                <w:sz w:val="20"/>
                <w:szCs w:val="20"/>
              </w:rPr>
              <w:t xml:space="preserve">0 мм.</w:t>
            </w:r>
            <w:r/>
          </w:p>
        </w:tc>
      </w:tr>
      <w:tr>
        <w:tblPrEx/>
        <w:trPr>
          <w:trHeight w:val="131"/>
        </w:trPr>
        <w:tc>
          <w:tcPr>
            <w:shd w:val="clear" w:color="auto" w:fill="auto"/>
            <w:tcBorders>
              <w:left w:val="single" w:color="000000" w:sz="4" w:space="0"/>
            </w:tcBorders>
            <w:tcW w:w="541" w:type="dxa"/>
            <w:vMerge w:val="continue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/>
            <w:bookmarkStart w:id="0" w:name="_GoBack"/>
            <w:r/>
            <w:bookmarkEnd w:id="0"/>
            <w:r/>
            <w:r>
              <w:rPr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0" w:type="dxa"/>
            <w:textDirection w:val="lrTb"/>
            <w:noWrap w:val="false"/>
          </w:tcPr>
          <w:p>
            <w:pPr>
              <w:contextualSpacing/>
              <w:ind w:firstLine="3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Стенд</w:t>
            </w:r>
            <w:r>
              <w:rPr>
                <w:bCs/>
                <w:sz w:val="20"/>
                <w:szCs w:val="20"/>
              </w:rPr>
            </w:r>
          </w:p>
        </w:tc>
      </w:tr>
      <w:tr>
        <w:tblPrEx/>
        <w:trPr>
          <w:trHeight w:val="131"/>
        </w:trPr>
        <w:tc>
          <w:tcPr>
            <w:shd w:val="clear" w:color="auto" w:fill="auto"/>
            <w:tcBorders>
              <w:left w:val="single" w:color="000000" w:sz="4" w:space="0"/>
            </w:tcBorders>
            <w:tcW w:w="541" w:type="dxa"/>
            <w:vMerge w:val="continue"/>
            <w:textDirection w:val="lrTb"/>
            <w:noWrap w:val="false"/>
          </w:tcPr>
          <w:p>
            <w:pPr>
              <w:ind w:left="30" w:right="30"/>
              <w:jc w:val="center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25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5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длиной не менее 2880 мм должна быть изготовлена из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металлической трубы </w:t>
            </w:r>
            <w:r>
              <w:rPr>
                <w:sz w:val="20"/>
                <w:szCs w:val="20"/>
              </w:rPr>
              <w:t xml:space="preserve">размерами не менее 40х40х2 мм</w:t>
            </w:r>
            <w:r>
              <w:rPr>
                <w:sz w:val="20"/>
                <w:szCs w:val="20"/>
              </w:rPr>
              <w:t xml:space="preserve">. Полотно должно крепиться между стойками и должно быть изготовлено из листового металла толщиной не менее 2 мм. Габаритн</w:t>
            </w:r>
            <w:r>
              <w:rPr>
                <w:sz w:val="20"/>
                <w:szCs w:val="20"/>
              </w:rPr>
              <w:t xml:space="preserve">ые размеры полотна не менее 1147</w:t>
            </w:r>
            <w:r>
              <w:rPr>
                <w:sz w:val="20"/>
                <w:szCs w:val="20"/>
              </w:rPr>
              <w:t xml:space="preserve">*800 мм. Высота нижнего края полотна над уровнем земли должна быть не менее 1300 мм.</w:t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rPr>
      <w:rFonts w:ascii="Tahoma" w:hAnsi="Tahoma" w:cs="Tahoma"/>
      <w:sz w:val="16"/>
      <w:szCs w:val="16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Tahoma" w:hAnsi="Tahoma" w:eastAsia="Times New Roman" w:cs="Tahoma"/>
      <w:sz w:val="16"/>
      <w:szCs w:val="16"/>
      <w:lang w:eastAsia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Иван Якимов</cp:lastModifiedBy>
  <cp:revision>44</cp:revision>
  <dcterms:created xsi:type="dcterms:W3CDTF">2018-11-17T04:30:00Z</dcterms:created>
  <dcterms:modified xsi:type="dcterms:W3CDTF">2025-03-05T05:58:34Z</dcterms:modified>
</cp:coreProperties>
</file>